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Годовой отчет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о деятельности организации здравоохранения 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ГКП "</w:t>
      </w:r>
      <w:r w:rsidRPr="00850965">
        <w:rPr>
          <w:rFonts w:ascii="Arial" w:eastAsia="Times New Roman" w:hAnsi="Arial" w:cs="Arial"/>
          <w:b/>
          <w:bCs/>
          <w:sz w:val="21"/>
          <w:szCs w:val="21"/>
          <w:lang w:val="kk-KZ" w:eastAsia="ru-RU"/>
        </w:rPr>
        <w:t xml:space="preserve">Байганинская </w:t>
      </w: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центральная районная больница" на ПХВ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 _2018_год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СОДЕРЖАНИЕ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1. О ПРЕДПРИЯТИИ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 1.1.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Краткое описание организации и предоставляемых медицинских услуг (миссия, видение, отчетный год в цифрах)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 1.2.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Стратегия развития (стратегические цели и задачи)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2. КОРПОРАТИВНОЕ УПРАВЛЕНИЕ (для организации с корпоративным управлением)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2.1. Структура корпоративного управления, состав наблюдательного совета/совета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 директоров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2.2. Состав и деятельность Службы внутреннего аудита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 РАЗДЕЛ 3. ОЦЕНКА КОНКУРЕНТОСПОСОБНОСТИ ПРЕДПРИЯТИЯ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3.1. Ключевые показатели деятельности (по плану развития)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3.2. Основные медико-экономические показатели (за последние 3 года)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4. ФИНАНСОВАЯ ОТЧЕТНОСТЬ И ЭФФЕКТИВНОЕ ИСПОЛЬЗОВАНИЕ ФИНАНСОВЫХ СРЕДСТВ. МЕХАНИЗМ ПОВЫШЕНИЯ ДОХОДНОЙ ЧАСТИ БЮДЖЕТА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4.1. Отчет о финансовом положении (финансово-экономические показатели)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4.2. Отчет о прибыли,   убытке и совокупном доходе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4.3. Оценка эффективности использования основных средств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5. ПАЦИЕНТЫ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5.1. Привлечение (прикрепление) пациентов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5.2.Удовлетворенность пациентов услугами медицинской организации. Работа с жалобами.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5.3. Работа с пациентами, управление структурой госпитализированных пациентов.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5.4. Безопасность пациентов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5.5. Управление рисками в работе с пациентами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6. КАДРЫ. КОМПЛЕКСНАЯ СИСТЕМА МОТИВАЦИИ И РАЗВИТИЯ ПЕРСОНАЛА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6.1. Основные показатели эффективности  </w:t>
      </w:r>
      <w:r w:rsidRPr="00850965">
        <w:rPr>
          <w:rFonts w:ascii="Arial" w:eastAsia="Times New Roman" w:hAnsi="Arial" w:cs="Arial"/>
          <w:sz w:val="21"/>
          <w:szCs w:val="21"/>
          <w:lang w:val="en-US" w:eastAsia="ru-RU"/>
        </w:rPr>
        <w:t>HR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-менеджмента: обучение и переподготовка ключевых специалистов, текучесть кадров (по всем категориям), удовлетворенность работников условиями труда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6.2. Управление рисками в работе с персоналом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7. ЭФФЕКТИВНОЕ ИСПОЛЬЗОВАНИЕ   РЕСУРСОВ ОРГАНИЗАЦИИ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7.1. Аккредитация клиники, лабораторной службы, профильных служб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7.2. Управление структурой пациентов (ранжирование по весовым коэффициентам, развитие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стационарозамещающих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технологий)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1. О ПРЕДПРИЯТИИ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1.1 Краткое описание организации и предоставляемых медицинских услуг (миссия, видение)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Предприятие является центральной районной больницы в регионе Актюбинской области, </w:t>
      </w:r>
      <w:r w:rsidR="0002150A" w:rsidRPr="00850965">
        <w:rPr>
          <w:rFonts w:ascii="Arial" w:eastAsia="Times New Roman" w:hAnsi="Arial" w:cs="Arial"/>
          <w:sz w:val="21"/>
          <w:szCs w:val="21"/>
          <w:lang w:val="kk-KZ" w:eastAsia="ru-RU"/>
        </w:rPr>
        <w:t>Байганинского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района, которое оказывает следующие услуги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:</w:t>
      </w:r>
      <w:proofErr w:type="gram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- в рамках гарантированного объема бесплатной медицинской помощи - оказание амбулаторно-поликлинической, консультативно-диагностической, стационарной и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стационарозамещающей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помощи, скорой медицинской помощи;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- Пропаганда здорового образа жизни;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-фармацевтическая деятельность;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- оказание платных медицинских услуг.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Миссия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Оказание квалифицированной и специализированной медицинской помощи населению, улучшение здоровья через внедрение  новых технологий, методов лечения и профилактики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Видение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 Оказание высококачественной амбулаторной и специализированной медицинской помощи, наиболее отвечающей потребностям пациента, на основе современных диагностических, лечебных, профилактических и медико-социальных технологий в условиях оптимального комфорта, уюта и понимания. Приоритетом нашей деятельности является профилактика.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00DC8" w:rsidRPr="00850965" w:rsidRDefault="009D5136" w:rsidP="005077F2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2018 год в цифрах</w:t>
      </w:r>
    </w:p>
    <w:p w:rsidR="005077F2" w:rsidRPr="00850965" w:rsidRDefault="005077F2" w:rsidP="005077F2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·      Количество пролеченных пациентов: </w:t>
      </w:r>
      <w:r w:rsidR="00D468A1" w:rsidRPr="00850965">
        <w:rPr>
          <w:rFonts w:ascii="Arial" w:eastAsia="Times New Roman" w:hAnsi="Arial" w:cs="Arial"/>
          <w:sz w:val="21"/>
          <w:szCs w:val="21"/>
          <w:lang w:val="kk-KZ" w:eastAsia="ru-RU"/>
        </w:rPr>
        <w:t>2300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Количество проведенных операций: </w:t>
      </w:r>
      <w:r w:rsidR="0072566D" w:rsidRPr="00850965">
        <w:rPr>
          <w:rFonts w:ascii="Arial" w:eastAsia="Times New Roman" w:hAnsi="Arial" w:cs="Arial"/>
          <w:sz w:val="21"/>
          <w:szCs w:val="21"/>
          <w:lang w:eastAsia="ru-RU"/>
        </w:rPr>
        <w:t>367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Внутрибольничные инфекций (ВБИ)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:</w:t>
      </w:r>
      <w:proofErr w:type="gram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в 201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7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 г.</w:t>
      </w:r>
      <w:r w:rsidR="00F86BD3"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1</w:t>
      </w:r>
      <w:r w:rsidR="00C174E7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C174E7" w:rsidRPr="00850965">
        <w:rPr>
          <w:rFonts w:ascii="Arial" w:eastAsia="Times New Roman" w:hAnsi="Arial" w:cs="Arial"/>
          <w:sz w:val="21"/>
          <w:szCs w:val="21"/>
          <w:lang w:val="en-US" w:eastAsia="ru-RU"/>
        </w:rPr>
        <w:t>c</w:t>
      </w:r>
      <w:r w:rsidR="00C174E7" w:rsidRPr="00850965">
        <w:rPr>
          <w:rFonts w:ascii="Arial" w:eastAsia="Times New Roman" w:hAnsi="Arial" w:cs="Arial"/>
          <w:sz w:val="21"/>
          <w:szCs w:val="21"/>
          <w:lang w:val="kk-KZ" w:eastAsia="ru-RU"/>
        </w:rPr>
        <w:t>л</w:t>
      </w:r>
      <w:r w:rsidR="00EB7E53"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– 0,05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, в 201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8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 году</w:t>
      </w:r>
      <w:r w:rsidR="00F86BD3"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1</w:t>
      </w:r>
      <w:r w:rsidR="00C174E7"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сл</w:t>
      </w:r>
      <w:r w:rsidR="00EB7E53"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– 0,04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Уровень использования коечного фонда: </w:t>
      </w:r>
      <w:r w:rsidR="00D468A1" w:rsidRPr="00850965">
        <w:rPr>
          <w:rFonts w:ascii="Arial" w:eastAsia="Times New Roman" w:hAnsi="Arial" w:cs="Arial"/>
          <w:sz w:val="21"/>
          <w:szCs w:val="21"/>
          <w:lang w:val="kk-KZ" w:eastAsia="ru-RU"/>
        </w:rPr>
        <w:t>105,4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%</w:t>
      </w:r>
    </w:p>
    <w:p w:rsidR="00BA322D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·      Всего на конец 2018 года количество сотрудников – </w:t>
      </w:r>
      <w:r w:rsidR="005077F2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365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, из котор</w:t>
      </w:r>
      <w:r w:rsidR="00BA322D" w:rsidRPr="00850965">
        <w:rPr>
          <w:rFonts w:ascii="Arial" w:eastAsia="Times New Roman" w:hAnsi="Arial" w:cs="Arial"/>
          <w:sz w:val="21"/>
          <w:szCs w:val="21"/>
          <w:lang w:eastAsia="ru-RU"/>
        </w:rPr>
        <w:t>ых:</w:t>
      </w:r>
    </w:p>
    <w:p w:rsidR="009D5136" w:rsidRPr="00850965" w:rsidRDefault="00BA322D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.   </w:t>
      </w:r>
      <w:r w:rsidR="009D5136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Медицинский персонал – </w:t>
      </w:r>
      <w:r w:rsidR="000427B5" w:rsidRPr="00850965">
        <w:rPr>
          <w:rFonts w:ascii="Arial" w:eastAsia="Times New Roman" w:hAnsi="Arial" w:cs="Arial"/>
          <w:b/>
          <w:sz w:val="21"/>
          <w:szCs w:val="21"/>
          <w:lang w:val="kk-KZ" w:eastAsia="ru-RU"/>
        </w:rPr>
        <w:t>202</w:t>
      </w:r>
      <w:r w:rsidR="009D5136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="000427B5" w:rsidRPr="00850965">
        <w:rPr>
          <w:rFonts w:ascii="Arial" w:eastAsia="Times New Roman" w:hAnsi="Arial" w:cs="Arial"/>
          <w:b/>
          <w:sz w:val="21"/>
          <w:szCs w:val="21"/>
          <w:lang w:val="kk-KZ" w:eastAsia="ru-RU"/>
        </w:rPr>
        <w:t>(</w:t>
      </w:r>
      <w:r w:rsidR="000427B5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4</w:t>
      </w:r>
      <w:r w:rsidR="000B2E7C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0</w:t>
      </w:r>
      <w:r w:rsidR="009D5136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врачей, </w:t>
      </w:r>
      <w:r w:rsidR="000427B5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16</w:t>
      </w:r>
      <w:r w:rsidR="000B2E7C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2</w:t>
      </w:r>
      <w:r w:rsidR="000427B5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="009D5136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СМП</w:t>
      </w:r>
      <w:proofErr w:type="gramStart"/>
      <w:r w:rsidR="009D5136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)</w:t>
      </w:r>
      <w:proofErr w:type="gram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Доход от оказания платных медицинских услуг: </w:t>
      </w:r>
      <w:r w:rsidR="00567F40" w:rsidRPr="00850965">
        <w:rPr>
          <w:rFonts w:ascii="Arial" w:eastAsia="Times New Roman" w:hAnsi="Arial" w:cs="Arial"/>
          <w:sz w:val="21"/>
          <w:szCs w:val="21"/>
          <w:lang w:val="kk-KZ" w:eastAsia="ru-RU"/>
        </w:rPr>
        <w:t>8104,3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 тыс. тенге.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1.2 Стратегия развития (стратегические цели)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Организация  работает по 3 стратегическ</w:t>
      </w:r>
      <w:bookmarkStart w:id="0" w:name="_GoBack"/>
      <w:bookmarkEnd w:id="0"/>
      <w:r w:rsidRPr="00850965">
        <w:rPr>
          <w:rFonts w:ascii="Arial" w:eastAsia="Times New Roman" w:hAnsi="Arial" w:cs="Arial"/>
          <w:sz w:val="21"/>
          <w:szCs w:val="21"/>
          <w:lang w:eastAsia="ru-RU"/>
        </w:rPr>
        <w:t>им направлениям: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1. Улучшение доступности качественных медицинских услуг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1: Создание пациент-ориентированной системы оказания медицинской помощи.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2: Эффективный больничный менеджмент.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 Повышение эффективности системы здравоохранения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Цель: 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Становление ведущим поставщиком медицинских услуг по </w:t>
      </w:r>
      <w:r w:rsidR="0002150A" w:rsidRPr="00850965">
        <w:rPr>
          <w:rFonts w:ascii="Arial" w:eastAsia="Times New Roman" w:hAnsi="Arial" w:cs="Arial"/>
          <w:sz w:val="21"/>
          <w:szCs w:val="21"/>
          <w:lang w:val="kk-KZ" w:eastAsia="ru-RU"/>
        </w:rPr>
        <w:t>Байганинскому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району и Актюбинской области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3.Развитие кадрового потенциала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Цель: Формирование квалифицированных кадров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 Финансовая устойчивость предприятия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Цель 1: Адекватное финансирование деятельности, повышение доходности.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2. КОРПОРАТИВНОЕ УПРАВЛЕНИЕ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2.1. Структура корпоративного управления, состав наблюдательного совета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Состав наблюдательного совета утвержден Приказ ГУ "Управление здравоохранения Актюбинской области" от 18 апреля 2018 года, за №74ө-§4, от 07.12.2018 года за №235ө-§4</w:t>
      </w:r>
    </w:p>
    <w:p w:rsidR="0075748A" w:rsidRPr="00850965" w:rsidRDefault="009D5136" w:rsidP="0075748A">
      <w:pPr>
        <w:pStyle w:val="a3"/>
        <w:shd w:val="clear" w:color="auto" w:fill="FFFFFF"/>
        <w:spacing w:before="0" w:beforeAutospacing="0" w:after="135" w:afterAutospacing="0"/>
      </w:pPr>
      <w:r w:rsidRPr="00850965">
        <w:rPr>
          <w:rFonts w:ascii="Arial" w:hAnsi="Arial" w:cs="Arial"/>
          <w:sz w:val="21"/>
          <w:szCs w:val="21"/>
        </w:rPr>
        <w:t xml:space="preserve">Председатель Наблюдательного совета - </w:t>
      </w:r>
      <w:r w:rsidR="0075748A" w:rsidRPr="00850965">
        <w:rPr>
          <w:lang w:val="kk-KZ"/>
        </w:rPr>
        <w:t>Коянбаев Мухтар Елеусинович</w:t>
      </w:r>
    </w:p>
    <w:p w:rsidR="0075748A" w:rsidRPr="00850965" w:rsidRDefault="009D5136" w:rsidP="0075748A">
      <w:pPr>
        <w:pStyle w:val="a3"/>
        <w:shd w:val="clear" w:color="auto" w:fill="FFFFFF"/>
        <w:spacing w:before="0" w:beforeAutospacing="0" w:after="135" w:afterAutospacing="0"/>
      </w:pPr>
      <w:r w:rsidRPr="00850965">
        <w:rPr>
          <w:rFonts w:ascii="Arial" w:hAnsi="Arial" w:cs="Arial"/>
          <w:sz w:val="21"/>
          <w:szCs w:val="21"/>
        </w:rPr>
        <w:t xml:space="preserve">член Наблюдательного совета -  </w:t>
      </w:r>
      <w:r w:rsidR="0075748A" w:rsidRPr="00850965">
        <w:rPr>
          <w:lang w:val="kk-KZ"/>
        </w:rPr>
        <w:t>Мустафин Табынбай Кидирбаевич</w:t>
      </w:r>
    </w:p>
    <w:p w:rsidR="0075748A" w:rsidRPr="00850965" w:rsidRDefault="009D5136" w:rsidP="007574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член Наблюдательного совета -  </w:t>
      </w:r>
      <w:r w:rsidR="0075748A" w:rsidRPr="00850965">
        <w:rPr>
          <w:rFonts w:ascii="Times New Roman" w:hAnsi="Times New Roman" w:cs="Times New Roman"/>
          <w:sz w:val="24"/>
          <w:szCs w:val="24"/>
          <w:lang w:val="kk-KZ"/>
        </w:rPr>
        <w:t>Иманбаев Абзалбек Иманбаевич</w:t>
      </w:r>
    </w:p>
    <w:p w:rsidR="0075748A" w:rsidRPr="00850965" w:rsidRDefault="009D5136" w:rsidP="0075748A">
      <w:pPr>
        <w:pStyle w:val="a3"/>
        <w:shd w:val="clear" w:color="auto" w:fill="FFFFFF"/>
        <w:spacing w:before="0" w:beforeAutospacing="0" w:after="135" w:afterAutospacing="0"/>
      </w:pPr>
      <w:r w:rsidRPr="00850965">
        <w:rPr>
          <w:rFonts w:ascii="Arial" w:hAnsi="Arial" w:cs="Arial"/>
          <w:sz w:val="21"/>
          <w:szCs w:val="21"/>
        </w:rPr>
        <w:t xml:space="preserve">член Наблюдательного совета -  </w:t>
      </w:r>
      <w:r w:rsidR="0075748A" w:rsidRPr="00850965">
        <w:rPr>
          <w:lang w:val="kk-KZ"/>
        </w:rPr>
        <w:t>Амангелдиев Амантай Амангелдиевич</w:t>
      </w:r>
    </w:p>
    <w:p w:rsidR="0075748A" w:rsidRPr="00850965" w:rsidRDefault="009D5136" w:rsidP="007574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член Наблюдательного совета -  </w:t>
      </w:r>
      <w:r w:rsidR="0075748A" w:rsidRPr="00850965">
        <w:rPr>
          <w:rFonts w:ascii="Times New Roman" w:hAnsi="Times New Roman" w:cs="Times New Roman"/>
          <w:sz w:val="24"/>
          <w:szCs w:val="24"/>
          <w:lang w:val="kk-KZ"/>
        </w:rPr>
        <w:t>Омаров Олжас Асылбекович</w:t>
      </w:r>
    </w:p>
    <w:p w:rsidR="0075748A" w:rsidRPr="00850965" w:rsidRDefault="009D5136" w:rsidP="007574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член Наблюдательного совета -  </w:t>
      </w:r>
      <w:r w:rsidR="0075748A" w:rsidRPr="00850965">
        <w:rPr>
          <w:rFonts w:ascii="Times New Roman" w:hAnsi="Times New Roman" w:cs="Times New Roman"/>
          <w:sz w:val="24"/>
          <w:szCs w:val="24"/>
          <w:lang w:val="kk-KZ"/>
        </w:rPr>
        <w:t>Кенжебаева Батима</w:t>
      </w:r>
    </w:p>
    <w:p w:rsidR="0075748A" w:rsidRPr="00850965" w:rsidRDefault="009D5136" w:rsidP="007574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член Наблюдательного совета -  </w:t>
      </w:r>
      <w:r w:rsidR="0075748A" w:rsidRPr="00850965">
        <w:rPr>
          <w:rFonts w:ascii="Times New Roman" w:hAnsi="Times New Roman" w:cs="Times New Roman"/>
          <w:sz w:val="24"/>
          <w:szCs w:val="24"/>
          <w:lang w:val="kk-KZ"/>
        </w:rPr>
        <w:t>Тажімұратов Бауыржан Құрағанұлы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секретарь </w:t>
      </w:r>
      <w:r w:rsidR="0075748A" w:rsidRPr="00850965">
        <w:rPr>
          <w:rFonts w:ascii="Arial" w:eastAsia="Times New Roman" w:hAnsi="Arial" w:cs="Arial"/>
          <w:sz w:val="21"/>
          <w:szCs w:val="21"/>
          <w:lang w:eastAsia="ru-RU"/>
        </w:rPr>
        <w:t>–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75748A"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Такен Дәуренбек Ермекұлы 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2.2. Состав и деятельность Службы внутреннего аудита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Служба внутреннего аудита (СВА) - структурное подразделение Организации, осуществляющее деятельность по управлению качеством медицинской помощи на уровне медицинской организации и наделенное соответствующими полномочиями в соответствии с утвержденной должностной инструкцией и Положением о Службе внутреннего аудита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Руководитель СВА - Заместитель главного врача </w:t>
      </w:r>
      <w:r w:rsidR="0075748A" w:rsidRPr="00850965">
        <w:rPr>
          <w:rFonts w:ascii="Arial" w:eastAsia="Times New Roman" w:hAnsi="Arial" w:cs="Arial"/>
          <w:sz w:val="21"/>
          <w:szCs w:val="21"/>
          <w:lang w:val="kk-KZ" w:eastAsia="ru-RU"/>
        </w:rPr>
        <w:t>Адилханов Серик Муханбет</w:t>
      </w:r>
      <w:r w:rsidR="00C35A0D" w:rsidRPr="00850965">
        <w:rPr>
          <w:rFonts w:ascii="Arial" w:eastAsia="Times New Roman" w:hAnsi="Arial" w:cs="Arial"/>
          <w:sz w:val="21"/>
          <w:szCs w:val="21"/>
          <w:lang w:val="kk-KZ" w:eastAsia="ru-RU"/>
        </w:rPr>
        <w:t>улы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Основными направлениями работы СВА являются: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     анализ отчетов по работе клинических подразделений;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     анализ индикаторов структуры, процесса и результатов;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·           аттестация отделений, сотрудников на соответствие должности по оказанию экстренной помощи;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работа  с постоянно действующими комиссиями;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     подготовка к проведению аккредитации; постоянный мониторинг и анализ устных и письменных жалоб пациентов и их родственников;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     мониторинг книг жалоб и предложений пациентов по отделениям.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 РАЗДЕЛ 3. ОЦЕНКА КОНКУРЕНТОСПОСОБНОСТИ ПРЕДПРИЯТИЯ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3.1. Ключевые показатели деятельности (по плану развития)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1: Формирование квалифицированных кадров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 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   В результате проведенных мероприятий по основным задачам в рамках данной стратегической цели из 5 индикаторов достигнуты все индикаторы.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240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Индикаторы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45"/>
        <w:gridCol w:w="1425"/>
        <w:gridCol w:w="1410"/>
        <w:gridCol w:w="1275"/>
        <w:gridCol w:w="1260"/>
      </w:tblGrid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на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Сведения о достижении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персонала, прошедшего обучение/переподготовку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Текучесть кадров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персонала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7D3F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3F53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7D3F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3F53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жильем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менее 50,0%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Достиг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Причины не достижения: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2: Адекватное финансирование деятельности, повышение доходности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   В результате проведенных мероприятий по основным задачам в рамках данной стратегической цели из 6 индикаторов наблюдается достижение 3 индикаторов, не достигнуты – 3.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Индикаторы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en-US"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85"/>
        <w:gridCol w:w="1410"/>
        <w:gridCol w:w="1425"/>
        <w:gridCol w:w="1275"/>
        <w:gridCol w:w="1275"/>
      </w:tblGrid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на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год*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Сведения о достижении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на 1 койку (млн. тенге)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3,2 млн. тг.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4,7 млн. тг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3,4млн. тг.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Амортизационный коэффициент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52,53%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49,78%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Оборачиваемость активов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(эффективная деятельность)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-893,93%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активов (ROA)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13572A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доходов от платных услуг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en-US"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en-US"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Причины не достижения: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 За счет физического износа и нехватки финансовых средств для обновления базы основных средств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4,5. За счет убытка предприятия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Цель 3: Создание пациент-ориентированной системы оказания медицинской помощи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 результате проведенных мероприятий по основным задачам в рамках данной стратегической цели из  индикаторов наблюдается достижение  15 индикаторов, не достигнуто - 2 индикатора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Индикаторы </w:t>
      </w:r>
    </w:p>
    <w:tbl>
      <w:tblPr>
        <w:tblW w:w="10213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85"/>
        <w:gridCol w:w="1843"/>
        <w:gridCol w:w="1425"/>
        <w:gridCol w:w="1275"/>
        <w:gridCol w:w="1275"/>
      </w:tblGrid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на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Сведения о достижении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пациентов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B3F1F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63 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B3F1F" w:rsidP="00F23C3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74 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ВБИ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EB7E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B7E53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F23C3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B7E53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послеоперационной летальности пациентов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1,6%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39B6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,47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F23C3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летальность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0,9%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1D4A5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D4A59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F23C3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D4A59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695184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F23C3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695184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д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послеоперационных осложнений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F23C3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ожидания госпитализации в стационар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14 дней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1день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туберкулезом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 на 100тыс нас.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B3F1F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r w:rsidR="00F72CDC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,65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100тыс нас.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F72CDC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43,22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100тыс нас.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смертность населения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на 1000нас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F72CDC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F72CDC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4,97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смертность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на 100000 родившихся живыми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Младенческая смертность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на 1000 родившихся живыми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F72CDC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F72CDC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8,39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Смертность от болезней системы кровообращения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175,0 на 100тыс нас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BD3FF0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17,51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BD3FF0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Смертность от туберкулеза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3,45 на 100тыс нас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Смертность от злокачественных новообразований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74,48 на 100тыс нас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BD3FF0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12,97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BD3FF0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13,13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Ранее выявляемость злокачественных новообразований (1-2 стадия)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62,7%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534DB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3D0F29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534DB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д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остиг</w:t>
            </w:r>
          </w:p>
        </w:tc>
      </w:tr>
      <w:tr w:rsidR="00850965" w:rsidRPr="00850965" w:rsidTr="0038526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Доля врачей ПМСП в общем числе врачей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534DB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3D0F29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Причины не достижения: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9.  Низкая рождаемость по району и развитие врожденных пороков среди младенцев.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4: Эффективный больничный менеджмент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   В результате проведенных мероприятий по основным задачам в рамках данной стратегической цели из 5 индикаторов наблюдается достижение 4 индикаторов, не достигнуты – 1 индикатор.</w:t>
      </w:r>
    </w:p>
    <w:tbl>
      <w:tblPr>
        <w:tblW w:w="10207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843"/>
        <w:gridCol w:w="1417"/>
        <w:gridCol w:w="1276"/>
        <w:gridCol w:w="1276"/>
      </w:tblGrid>
      <w:tr w:rsidR="00850965" w:rsidRPr="00850965" w:rsidTr="0038526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на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год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2017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Сведения о достижении</w:t>
            </w:r>
          </w:p>
        </w:tc>
      </w:tr>
      <w:tr w:rsidR="00850965" w:rsidRPr="00850965" w:rsidTr="0038526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компьютеризации рабочих мест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койки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26,9 раз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070D8B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48,1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070D8B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41,4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занятость койки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070D8B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321,6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070D8B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286,1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</w:t>
            </w:r>
          </w:p>
        </w:tc>
      </w:tr>
      <w:tr w:rsidR="00850965" w:rsidRPr="00850965" w:rsidTr="0038526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длительность пребывания пациента в стационаре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12,1 дней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D12013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6,7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D120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013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6,9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38526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длительность дооперационного пребывания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4,7 дней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D6190E" w:rsidP="00D6190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D6190E" w:rsidP="00D6190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Причины не достижения: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3. В связи с развитием и широким применением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стационарозамещающих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технологии и с  сокращением пребывания больного на стационарные койки</w:t>
      </w:r>
    </w:p>
    <w:p w:rsidR="00CF1211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3.2. Основные медико-экономические показатели (за последние 3 года)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Медико-экономические показатели Организации за последние 3 года: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4408"/>
        <w:gridCol w:w="1700"/>
        <w:gridCol w:w="1700"/>
        <w:gridCol w:w="1700"/>
      </w:tblGrid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2016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2018 год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пациентов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1A4DB4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1A4DB4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1A4DB4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работников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43BDE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43BD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3BDE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43BDE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за отчетный период составляют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430735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589589,62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A3B9C" w:rsidP="00AA3B9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619709,1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A3B9C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665727,5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тыс.т</w:t>
            </w:r>
            <w:proofErr w:type="spellEnd"/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всего за отчетный период составляют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4F79E8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626634,02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A3B9C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651218,24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A3B9C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635166,8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тыс.т</w:t>
            </w:r>
            <w:proofErr w:type="spellEnd"/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платных медицинских услуг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4B1E4F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6071,00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3E4BDB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6771,22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3E4BDB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8104,3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пациентов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851E7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="00DD780C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851E7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A851E7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2300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DD780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DD780C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1A4DB4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0,3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4. ФИНАНСОВАЯ ОТЧЕТНОСТЬ И ЭФФЕКТИВНОЕ ИСПОЛЬЗОВАНИЕ ФИНАНСОВЫХ СРЕДСТВ. МЕХАНИЗМ ПОВЫШЕНИЯ ДОХОДНОЙ ЧАСТИ БЮДЖЕТА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4.1. Отчет о финансовом положении (финансово-экономические показатели)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   Утвержден</w:t>
      </w:r>
      <w:r w:rsidR="0096361D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ный бюджет на 2018 год  </w:t>
      </w:r>
      <w:r w:rsidR="00BB4AFC" w:rsidRPr="00850965">
        <w:rPr>
          <w:rFonts w:ascii="Arial" w:eastAsia="Times New Roman" w:hAnsi="Arial" w:cs="Arial"/>
          <w:sz w:val="21"/>
          <w:szCs w:val="21"/>
          <w:lang w:eastAsia="ru-RU"/>
        </w:rPr>
        <w:t>529203,1</w:t>
      </w:r>
      <w:r w:rsidR="0096361D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.т</w:t>
      </w:r>
      <w:proofErr w:type="gram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енге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. Уточненный бюджет на 2018 год составляет </w:t>
      </w:r>
      <w:r w:rsidR="00BB4AFC" w:rsidRPr="00850965">
        <w:rPr>
          <w:rFonts w:ascii="Arial" w:eastAsia="Times New Roman" w:hAnsi="Arial" w:cs="Arial"/>
          <w:sz w:val="21"/>
          <w:szCs w:val="21"/>
          <w:lang w:eastAsia="ru-RU"/>
        </w:rPr>
        <w:t>623 300,3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.т</w:t>
      </w:r>
      <w:proofErr w:type="gram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енге.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4.2 Отчет о прибыли, убытке и совокупном доходе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Увеличение доходов от платных медицинских услуг: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 З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а 2018 год фактические доходы от платных медицинских услуг в сумме составили </w:t>
      </w:r>
      <w:r w:rsidR="005A16EA" w:rsidRPr="00850965">
        <w:rPr>
          <w:rFonts w:ascii="Times New Roman" w:eastAsia="Times New Roman" w:hAnsi="Times New Roman" w:cs="Times New Roman"/>
          <w:sz w:val="24"/>
          <w:szCs w:val="24"/>
          <w:lang w:eastAsia="ru-RU"/>
        </w:rPr>
        <w:t>8104,3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тыс. тенге (в 2017 году – </w:t>
      </w:r>
      <w:r w:rsidR="005A16EA" w:rsidRPr="00850965">
        <w:rPr>
          <w:rFonts w:ascii="Times New Roman" w:eastAsia="Times New Roman" w:hAnsi="Times New Roman" w:cs="Times New Roman"/>
          <w:sz w:val="24"/>
          <w:szCs w:val="24"/>
          <w:lang w:eastAsia="ru-RU"/>
        </w:rPr>
        <w:t>6771,22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тыс. тенге).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Доход за 2018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го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составил </w:t>
      </w:r>
      <w:r w:rsidR="00044A34" w:rsidRPr="0085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665727,5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тыс.тенге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. Расходы</w:t>
      </w:r>
      <w:r w:rsidR="00044A34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за 2018 год составил </w:t>
      </w:r>
      <w:r w:rsidR="006F0325" w:rsidRPr="00850965">
        <w:rPr>
          <w:rFonts w:ascii="Arial" w:eastAsia="Times New Roman" w:hAnsi="Arial" w:cs="Arial"/>
          <w:sz w:val="21"/>
          <w:szCs w:val="21"/>
          <w:lang w:eastAsia="ru-RU"/>
        </w:rPr>
        <w:t>–</w:t>
      </w:r>
      <w:r w:rsidR="00044A34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6F0325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635166,8 </w:t>
      </w:r>
      <w:proofErr w:type="spellStart"/>
      <w:r w:rsidR="00F45806" w:rsidRPr="00850965">
        <w:rPr>
          <w:rFonts w:ascii="Arial" w:eastAsia="Times New Roman" w:hAnsi="Arial" w:cs="Arial"/>
          <w:sz w:val="21"/>
          <w:szCs w:val="21"/>
          <w:lang w:eastAsia="ru-RU"/>
        </w:rPr>
        <w:t>тыс</w:t>
      </w:r>
      <w:proofErr w:type="gramStart"/>
      <w:r w:rsidR="00F45806" w:rsidRPr="00850965">
        <w:rPr>
          <w:rFonts w:ascii="Arial" w:eastAsia="Times New Roman" w:hAnsi="Arial" w:cs="Arial"/>
          <w:sz w:val="21"/>
          <w:szCs w:val="21"/>
          <w:lang w:eastAsia="ru-RU"/>
        </w:rPr>
        <w:t>.т</w:t>
      </w:r>
      <w:proofErr w:type="gramEnd"/>
      <w:r w:rsidR="00F45806" w:rsidRPr="00850965">
        <w:rPr>
          <w:rFonts w:ascii="Arial" w:eastAsia="Times New Roman" w:hAnsi="Arial" w:cs="Arial"/>
          <w:sz w:val="21"/>
          <w:szCs w:val="21"/>
          <w:lang w:eastAsia="ru-RU"/>
        </w:rPr>
        <w:t>енге</w:t>
      </w:r>
      <w:proofErr w:type="spellEnd"/>
      <w:r w:rsidR="00F45806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, итого прибыль 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за</w:t>
      </w:r>
      <w:r w:rsidR="00F45806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отчетный год составил -  30560,7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тыс.тенге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 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4.3. Оценка эффективности использования основных средств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lastRenderedPageBreak/>
        <w:t>         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«Амортизационный коэффициент» (при плане 40%, факт – 52,53%). Не достижение индикатора связано с физическим износом основных средств и недостаточности   финансовых средств для закупа новых медицинских оборудований, транспортных средств и т.д.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«Рентабельность (эффективная деятельность)» (план – 0,1%, факт – -0,07%). Не достижение индикатора связано с убытком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преприятия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«Рентабельность активов (ROA)» (план – </w:t>
      </w:r>
      <w:r w:rsidR="004D4DE0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0  факт –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1,57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%).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Не достижение индикатора связано с убытком предприятия.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5. ПАЦИЕНТЫ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5.1 Привлечение (прикрепление) пациентов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За 201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8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 год в Организации было пролечено 1335 пациента (в рамках ГОБМП), что на 14,5% меньше по сравнению с показателями прошлых лет (за 2017 г. – 1561, за 2016 г. – 1582).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Стационарные койки в целом по Организации, и в разрезе структурных подразделении в 2018 году работали в менее интенсивном режиме, чем в 2017 году. Так если в 2017 году дни работы койки составляло 366 дней, то в 2018 году этот показатель составил всего 205 дней (нормативная нагрузка работы койки для хирургических коек в РК – 340 дней в год).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 5.2. Удовлетворенность пациентов услугами медицинской организации. Работа с жалобами.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С целью улучшения качества обслуживания на основе анализа мнений и предложений пациентов Организацией ежемесячно проводится анкетирование пациентов. По результатам проведенных анкетировании за отчетный период отмечается увеличение удовлетворенности пациентов до 93,0% против 92,6% в 2017 году.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5.3. Работа с пациентами, управление структурой госпитализированных пациентов.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В Организации отмечается уменьшение оборота койки на 14,7%: с 33,2 в 2017 г. до 28,3 в 2018г., при плане 32,5 в 2018г. 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 этом, количество поступивших больных уменьшилось на 15,2%: с 1556 поступивших больных за 2017 г, до 1335 в 20187г.; уменьшилось  количество выписанных за 2018 г. на 14,5 %, что составило 1335  против 1561 за 2017 г.</w:t>
      </w:r>
      <w:proofErr w:type="gram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5.4. Безопасность пациентов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 рамках подготовки к прохождению аккредитации осуществлены следующие мероприятия: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15 правил для сотрудников, описывающих процессы и процедуры от приема пациента в приемном покое до его выписки, а также внедрены формы медицинской документации в соответствии с международными требованиями;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10 клинических протоколов диагностики и лечения пациентов, созданных на основе лучших мировых практик и доказательной медицины;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9 Стандартных операционных процедур (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СОПов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) для среднего и младшего медицинского персонала, соответствующих международным;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 5.5. Управление рисками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Организацией проводится работа по совершенствованию работающего процесса сообщения о медицинских ошибках через предоставление Отчетов об инцидентах, которая 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достигается путем создания доверительных отношений между всеми сотрудниками, уменьшения боязни сотрудников сообщать о случившихся инцидентах.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Анализ управления рисками</w:t>
      </w:r>
    </w:p>
    <w:tbl>
      <w:tblPr>
        <w:tblW w:w="11058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17"/>
        <w:gridCol w:w="2430"/>
        <w:gridCol w:w="2557"/>
        <w:gridCol w:w="1623"/>
        <w:gridCol w:w="1213"/>
      </w:tblGrid>
      <w:tr w:rsidR="00850965" w:rsidRPr="00850965" w:rsidTr="00A06F39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B95A9E" w:rsidP="00B95A9E">
            <w:pPr>
              <w:spacing w:after="135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</w:t>
            </w:r>
            <w:proofErr w:type="spellEnd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возможного</w:t>
            </w:r>
            <w:proofErr w:type="spellEnd"/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D5136"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риска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на которую может повлиять данный риск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мероприятия по управлению рисками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мероприятий по управлению рисками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Причины</w:t>
            </w:r>
            <w:proofErr w:type="spellEnd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неисполнения</w:t>
            </w:r>
            <w:proofErr w:type="spellEnd"/>
          </w:p>
        </w:tc>
      </w:tr>
      <w:tr w:rsidR="00850965" w:rsidRPr="00850965" w:rsidTr="00A06F39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50965" w:rsidRPr="00850965" w:rsidTr="00A06F39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внутрибольничной инфекции (БВИ)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На показатель качества;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На репутацию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1: Создание пациент-ориентированной системы оказания медицинской помощи.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2: Эффективный больничный менеджмент.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Ухудшение показателей стационара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(увеличение срока пребывания пациента в стационаре, увеличение смертности от ВБИ в стационаре)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Дополнительные финансовые затраты;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Комплексные мероприятия по профилактике ВБИ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9D5136" w:rsidRPr="00850965" w:rsidRDefault="009D5136" w:rsidP="009D51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В случае возникновения, 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источник инфекции, - выявление, изоляция и санация.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комиссия инфекционного контроля, действующая согласно Типовому положению о комиссии инфекционного контроля медицинских организаций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работы по организации и проведению инфекционного контроля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0965" w:rsidRPr="00850965" w:rsidTr="00A06F39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br/>
        <w:t>          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Проведена работа по экспертизе медицинских карт на соответствие требованиям национальной и международной аккредитаций: ежемесячный мониторинг по качеству заполнения медицинской документации; мониторинг своевременности предоставления информации по выписанным пациентам в ЕНСЗ; проведение экспертизы медицинской помощи по летальным случаям, которые разобраны на КИЛИ. Осуществлен контроль соблюдения стандартов аккредитации: идентификация пациентов, вторая подпись в листах назначений, тайм-аут и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т.д</w:t>
      </w:r>
      <w:proofErr w:type="spell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6. КАДРЫ. КОМПЛЕКСНАЯ СИСТЕМА МОТИВАЦИИ И РАЗВИТИЯ ПЕРСОНАЛА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6.1. Эффективность  </w:t>
      </w:r>
      <w:r w:rsidRPr="00850965">
        <w:rPr>
          <w:rFonts w:ascii="Arial" w:eastAsia="Times New Roman" w:hAnsi="Arial" w:cs="Arial"/>
          <w:sz w:val="21"/>
          <w:szCs w:val="21"/>
          <w:lang w:val="en-US" w:eastAsia="ru-RU"/>
        </w:rPr>
        <w:t>HR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-менеджмента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Для достижения данной цели определены несколько основных задач: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Обучение и переподготовка ключевых специалистов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В целях повышения профессионального уровня кадров за отчетный период прошли повышение квалификации  врачи на разные темы (онкология - 4, по заболеваемости туберкулезом - 6, по инфекционному контролю – 2, по неврологии – 1, по внедрению программы управления заболеваниями - 25), прошли переподготовку 2 специалиста (анестезиология- ренаиматология, лабораторная диагностика).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Среди медицинского персонала среднего звена за счет средств стимулирующего компонента подушевого норматива были обучены 7 врача, 15 средний медицинский персонал.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22 врача, 15 средний медицинский персонал, 7 сотрудников из числа прочего персонала приняли участие на семинарах по различным темам.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Совершенствование системы профессионального развития среднего медицинско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го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персонала, включая расширение его прав и полномочий: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 В Организации особое внимание уделяется профессиональному развитию медицинских сестер, включая расширение их прав и полномочий, улучшение клинических навыков и этического поведения. В связи с этим на базе Организации на постоянной основе проводятся конференции и семинары.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За отчетный период проведено 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3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1 общебольничных конференций для специалистов сестринского дела с изложением теоретического материала и практических навыков.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Во всех конференциях принимали участие специалисты сестринского дела клинических отделений и вспомогательных служб.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6.2 Управление рисками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Обеспечение безопасными и эргономичными условиями труда медицинского и немедицинского персонала.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За отчетный период в организации проведена работа по: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обучению руководящего состава в области безопасности и охраны труда (обучено 5 сотрудников);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по обучению по пожарной безопасности (обучено 8 сотрудников)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проверке знаний сотрудников в области безопасности и охраны труда (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экзаменировано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150 сотрудников);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проведению вводного инструктажа с вновь принятыми на работу (проведено 66 сотрудникам);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организации производственного экологического контроля (ежедневный обход зданий и территории);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проведению аттестации электротехнического персонала по знанию норм и правил техники безопасности при эксплуатации электроустановок (аттестовано 10 сотрудников);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проведению тренингов персонала с участием областных, районных ГО, ЧС (проведено 5 объектовые тренировки).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Внешней сертифицированной компанией проведена аттестация рабочих мест.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Случаев производственного травматизма и профессиональных заболеваний в 2018 году не было.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  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7. ЭФФЕКТИВНОЕ ИСПОЛЬЗОВАНИЕ   РЕСУРСОВ ОРГАНИЗАЦИИ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lastRenderedPageBreak/>
        <w:t>         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7.1. Аккредитация клиники, лабораторной службы, профильных служб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В 2016 году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Организация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успешно прошла аккредитацию.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 рамках подготовки к прохождению аккредитации осуществлены следующие мероприятия: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-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внедрены 6 индикаторы качества и 3 приоритетные работы для выполнения проектов по повышению эффективности работы в каждом клиническом и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параклиническом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подразделениях;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-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20 правил для сотрудников, описывающие процессы и процедуры от приема пациента в приемном покое до его выписки, а также внедрены формы медицинской  документации, в соответствии с международными требованиями;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-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15 клинических протоколов диагностики и лечения нейрохирургических пациентов, созданных на основе лучших мировых практик и доказательной медицины;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17 Стандартных операционные процедуры (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СОПы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) для среднего и младшего медицинского персонала, соответствующие международным стандартам;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 7.2. Управление структурой больных (ранжирование по весовым коэффициентам, развитие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стационарзамещающих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технологий)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Уровень использования коечного фонда за 2018 год составил 71,2% при плане 100%.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За 2018  год наблюдается снижение средней длительности пребывания (СДП) пациентов в отделениях на 4% , с 7,5 дней в 2017 г. до 7,2 в 2018 г. при плане 12,1 дней за 2018 г.</w:t>
      </w:r>
      <w:proofErr w:type="gram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Отмечается уменьшение оборота койки  с 33,2 в 2017 г. до 28,3 в 2018 г., при плане 26,9 в 2018г. </w:t>
      </w:r>
      <w:proofErr w:type="gramStart"/>
      <w:r w:rsidRPr="0085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количество поступивших больных уменьшилось  на 15,2%: с 1556  поступивших больных за 2017 г. до 1335 в 2018 г.; уменьшилось количество выписанных за 2018 г. на 14,5%, что составляло 1335 против 1561 за 2017 г. </w:t>
      </w:r>
      <w:proofErr w:type="gramEnd"/>
    </w:p>
    <w:p w:rsidR="009D5136" w:rsidRPr="00850965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136" w:rsidRPr="00850965" w:rsidRDefault="00850965" w:rsidP="009D5136">
      <w:pPr>
        <w:shd w:val="clear" w:color="auto" w:fill="FFFFFF"/>
        <w:spacing w:before="270" w:after="270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EF6992" w:rsidRPr="00850965" w:rsidRDefault="00EF6992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val="kk-KZ"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67820" w:rsidRPr="00850965" w:rsidRDefault="00C67820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Годовой отчет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о деятельности организации здравоохранения 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ГКП "</w:t>
      </w:r>
      <w:r w:rsidR="00EF6992" w:rsidRPr="00850965">
        <w:rPr>
          <w:rFonts w:ascii="Arial" w:eastAsia="Times New Roman" w:hAnsi="Arial" w:cs="Arial"/>
          <w:b/>
          <w:bCs/>
          <w:sz w:val="21"/>
          <w:szCs w:val="21"/>
          <w:lang w:val="kk-KZ" w:eastAsia="ru-RU"/>
        </w:rPr>
        <w:t xml:space="preserve">Байганинская </w:t>
      </w: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центральная районная больница" на ПХВ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 _2017_год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СОДЕРЖАНИЕ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1. О ПРЕДПРИЯТИИ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 1.1.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Краткое описание организации и предоставляемых медицинских услуг (миссия, видение, отчетный год в цифрах)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 1.2.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Стратегия развития (стратегические цели и задачи)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2. КОРПОРАТИВНОЕ УПРАВЛЕНИЕ (для организации с корпоративным управлением)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2.1. Структура корпоративного управления, состав наблюдательного совета/совета директоров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2.2. Состав и деятельность Службы внутреннего аудита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 РАЗДЕЛ 3. ОЦЕНКА КОНКУРЕНТОСПОСОБНОСТИ ПРЕДПРИЯТИЯ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3.1. Ключевые показатели деятельности (по плану развития)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3.2. Основные медико-экономические показатели (за последние 3 года)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4. ФИНАНСОВАЯ ОТЧЕТНОСТЬ И ЭФФЕКТИВНОЕ ИСПОЛЬЗОВАНИЕ ФИНАНСОВЫХ СРЕДСТВ. МЕХАНИЗМ ПОВЫШЕНИЯ ДОХОДНОЙ ЧАСТИ БЮДЖЕТА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4.1. Отчет о финансовом положении (финансово-экономические показатели)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4.2. Отчет о прибыли,   убытке и совокупном доходе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4.3. Оценка эффективности использования основных средств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5. ПАЦИЕНТЫ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5.1. Привлечение (прикрепление) пациентов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5.2.Удовлетворенность пациентов услугами медицинской организации. Работа с жалобами.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5.3. Работа с пациентами, управление структурой госпитализированных пациентов.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5.4. Безопасность пациентов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5.5. Управление рисками в работе с пациентами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6. КАДРЫ. КОМПЛЕКСНАЯ СИСТЕМА МОТИВАЦИИ И РАЗВИТИЯ ПЕРСОНАЛА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6.1. Основные показатели эффективности  </w:t>
      </w:r>
      <w:r w:rsidRPr="00850965">
        <w:rPr>
          <w:rFonts w:ascii="Arial" w:eastAsia="Times New Roman" w:hAnsi="Arial" w:cs="Arial"/>
          <w:sz w:val="21"/>
          <w:szCs w:val="21"/>
          <w:lang w:val="en-US" w:eastAsia="ru-RU"/>
        </w:rPr>
        <w:t>HR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-менеджмента: обучение и переподготовка ключевых специалистов, текучесть кадров (по всем категориям), удовлетворенность работников условиями труда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6.2. Управление рисками в работе с персоналом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7. ЭФФЕКТИВНОЕ ИСПОЛЬЗОВАНИЕ   РЕСУРСОВ ОРГАНИЗАЦИИ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7.1. Аккредитация клиники, лабораторной службы, профильных служб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7.2. Управление структурой пациентов (ранжирование по весовым коэффициентам, развитие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стационарозамещающих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технологий)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1. О ПРЕДПРИЯТИИ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1.1 Краткое описание организации и предоставляемых медицинских услуг (миссия, видение)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Предприятие является центральной районной больницы в регионе Актюбинской области, </w:t>
      </w:r>
      <w:r w:rsidR="00E4482C"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Байганинского 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района, которое оказывает следующие услуги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:</w:t>
      </w:r>
      <w:proofErr w:type="gram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- в рамках гарантированного объема бесплатной медицинской помощи - оказание амбулаторно-поликлинической, консультативно-диагностической, стационарной и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стационарозамещающей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помощи, скорой медицинской помощи;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- Пропаганда здорового образа жизни;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-фармацевтическая деятельность;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- оказание платных медицинских услуг.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Миссия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Оказание квалифицированной и специализированной медицинской помощи населению, улучшение здоровья через внедрение  новых технологий, методов лечения и профилактики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Видение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Оказание высококачественной амбулаторной и специализированной медицинской помощи, наиболее отвечающей потребностям пациента, на основе современных диагностических, лечебных, профилактических и медико-социальных технологий в условиях оптимального комфорта, уюта и понимания. Приоритетом нашей деятельности является профилактика.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240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2017 год в цифрах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 Количество пролеченных пациентов: 1561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Количество проведенных операций: 497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Внутрибольничные инфекций (ВБИ)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:</w:t>
      </w:r>
      <w:proofErr w:type="gram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0,06% в 2016 г., 0,06% в 2017 году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Уровень использования коечного фонда: 81,3%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·      Всего на конец 2017 года количество сотрудников – </w:t>
      </w:r>
      <w:r w:rsidR="00BC22DB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363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,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из которых: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o    Медицинский персонал – 227 (36 врачей, 141 СМП, ММП-50)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·      Доход от оказания платных медицинских услуг: </w:t>
      </w:r>
      <w:r w:rsidR="009E6D71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6771,22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тыс. тенге.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1.2 Стратегия развития (стратегические цели)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Организация  работает по 3 стратегическим направлениям: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1. Улучшение доступности качественных медицинских услуг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1: Создание пациент-ориентированной системы оказания медицинской помощи.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2: Эффективный больничный менеджмент.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 Повышение эффективности системы здравоохранения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Цель: 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Становление ведущим поставщиком медицинских услуг по </w:t>
      </w:r>
      <w:r w:rsidR="00E4482C"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Байганинскому 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району и Актюбинской области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3.Развитие кадрового потенциала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Цель: Формирование квалифицированных кадров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4. Финансовая устойчивость предприятия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Цель 1: Адекватное финансирование деятельности, повышение доходности.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2. КОРПОРАТИВНОЕ УПРАВЛЕНИЕ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2.1. Структура корпоративного управления, состав наблюдательного совета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Состав наблюдательного совета утвержден Приказ ГУ "Управление здравоохранения Актюбинской области" от 18 апреля 2018 года, за №74ө-§4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F6992" w:rsidRPr="00850965" w:rsidRDefault="00EF6992" w:rsidP="00EF6992">
      <w:pPr>
        <w:pStyle w:val="a3"/>
        <w:shd w:val="clear" w:color="auto" w:fill="FFFFFF"/>
        <w:spacing w:before="0" w:beforeAutospacing="0" w:after="135" w:afterAutospacing="0"/>
      </w:pPr>
      <w:r w:rsidRPr="00850965">
        <w:rPr>
          <w:rFonts w:ascii="Arial" w:hAnsi="Arial" w:cs="Arial"/>
          <w:sz w:val="21"/>
          <w:szCs w:val="21"/>
        </w:rPr>
        <w:t xml:space="preserve">Председатель Наблюдательного совета - </w:t>
      </w:r>
      <w:r w:rsidRPr="00850965">
        <w:rPr>
          <w:lang w:val="kk-KZ"/>
        </w:rPr>
        <w:t>Коянбаев Мухтар Елеусинович</w:t>
      </w:r>
    </w:p>
    <w:p w:rsidR="00EF6992" w:rsidRPr="00850965" w:rsidRDefault="00EF6992" w:rsidP="00EF6992">
      <w:pPr>
        <w:pStyle w:val="a3"/>
        <w:shd w:val="clear" w:color="auto" w:fill="FFFFFF"/>
        <w:spacing w:before="0" w:beforeAutospacing="0" w:after="135" w:afterAutospacing="0"/>
      </w:pPr>
      <w:r w:rsidRPr="00850965">
        <w:rPr>
          <w:rFonts w:ascii="Arial" w:hAnsi="Arial" w:cs="Arial"/>
          <w:sz w:val="21"/>
          <w:szCs w:val="21"/>
        </w:rPr>
        <w:t xml:space="preserve">член Наблюдательного совета -  </w:t>
      </w:r>
      <w:r w:rsidRPr="00850965">
        <w:rPr>
          <w:lang w:val="kk-KZ"/>
        </w:rPr>
        <w:t>Мустафин Табынбай Кидирбаевич</w:t>
      </w:r>
    </w:p>
    <w:p w:rsidR="00EF6992" w:rsidRPr="00850965" w:rsidRDefault="00EF6992" w:rsidP="00EF699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член Наблюдательного совета -  </w:t>
      </w:r>
      <w:r w:rsidRPr="00850965">
        <w:rPr>
          <w:rFonts w:ascii="Times New Roman" w:hAnsi="Times New Roman" w:cs="Times New Roman"/>
          <w:sz w:val="24"/>
          <w:szCs w:val="24"/>
          <w:lang w:val="kk-KZ"/>
        </w:rPr>
        <w:t>Иманбаев Абзалбек Иманбаевич</w:t>
      </w:r>
    </w:p>
    <w:p w:rsidR="00EF6992" w:rsidRPr="00850965" w:rsidRDefault="00EF6992" w:rsidP="00EF6992">
      <w:pPr>
        <w:pStyle w:val="a3"/>
        <w:shd w:val="clear" w:color="auto" w:fill="FFFFFF"/>
        <w:spacing w:before="0" w:beforeAutospacing="0" w:after="135" w:afterAutospacing="0"/>
      </w:pPr>
      <w:r w:rsidRPr="00850965">
        <w:rPr>
          <w:rFonts w:ascii="Arial" w:hAnsi="Arial" w:cs="Arial"/>
          <w:sz w:val="21"/>
          <w:szCs w:val="21"/>
        </w:rPr>
        <w:t xml:space="preserve">член Наблюдательного совета -  </w:t>
      </w:r>
      <w:r w:rsidRPr="00850965">
        <w:rPr>
          <w:lang w:val="kk-KZ"/>
        </w:rPr>
        <w:t>Амангелдиев Амантай Амангелдиевич</w:t>
      </w:r>
    </w:p>
    <w:p w:rsidR="00EF6992" w:rsidRPr="00850965" w:rsidRDefault="00EF6992" w:rsidP="00EF699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член Наблюдательного совета -  </w:t>
      </w:r>
      <w:r w:rsidRPr="00850965">
        <w:rPr>
          <w:rFonts w:ascii="Times New Roman" w:hAnsi="Times New Roman" w:cs="Times New Roman"/>
          <w:sz w:val="24"/>
          <w:szCs w:val="24"/>
          <w:lang w:val="kk-KZ"/>
        </w:rPr>
        <w:t>Омаров Олжас Асылбекович</w:t>
      </w:r>
    </w:p>
    <w:p w:rsidR="00EF6992" w:rsidRPr="00850965" w:rsidRDefault="00EF6992" w:rsidP="00EF699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член Наблюдательного совета -  </w:t>
      </w:r>
      <w:r w:rsidRPr="00850965">
        <w:rPr>
          <w:rFonts w:ascii="Times New Roman" w:hAnsi="Times New Roman" w:cs="Times New Roman"/>
          <w:sz w:val="24"/>
          <w:szCs w:val="24"/>
          <w:lang w:val="kk-KZ"/>
        </w:rPr>
        <w:t>Кенжебаева Батима</w:t>
      </w:r>
    </w:p>
    <w:p w:rsidR="00EF6992" w:rsidRPr="00850965" w:rsidRDefault="00EF6992" w:rsidP="00EF699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член Наблюдательного совета -  </w:t>
      </w:r>
      <w:r w:rsidRPr="00850965">
        <w:rPr>
          <w:rFonts w:ascii="Times New Roman" w:hAnsi="Times New Roman" w:cs="Times New Roman"/>
          <w:sz w:val="24"/>
          <w:szCs w:val="24"/>
          <w:lang w:val="kk-KZ"/>
        </w:rPr>
        <w:t>Тажімұратов Бауыржан Құрағанұлы</w:t>
      </w:r>
    </w:p>
    <w:p w:rsidR="00EF6992" w:rsidRPr="00850965" w:rsidRDefault="00EF6992" w:rsidP="00EF6992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секретарь – 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Такен Дәуренбек Ермекұлы 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2.2. Состав и деятельность Службы внутреннего аудита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Служба внутреннего аудита (СВА) - структурное подразделение Организации, осуществляющее деятельность по управлению качеством медицинской помощи на уровне медицинской организации и наделенное соответствующими полномочиями в соответствии с утвержденной должностной инструкцией и Положением о Службе внутреннего аудита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Руководитель СВА - Заместитель главного врача </w:t>
      </w:r>
      <w:r w:rsidR="00EF6992" w:rsidRPr="00850965">
        <w:rPr>
          <w:rFonts w:ascii="Arial" w:eastAsia="Times New Roman" w:hAnsi="Arial" w:cs="Arial"/>
          <w:sz w:val="21"/>
          <w:szCs w:val="21"/>
          <w:lang w:val="kk-KZ" w:eastAsia="ru-RU"/>
        </w:rPr>
        <w:t>Адилханов Серик Муханбетулы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Основными направлениями работы СВА являются: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     анализ отчетов по работе клинических подразделений;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     анализ индикаторов структуры, процесса и результатов;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     аттестация отделений, сотрудников на соответствие должности по оказанию экстренной помощи; работа  с постоянно действующими комиссиями;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     подготовка к проведению аккредитации; постоянный мониторинг и анализ устных и письменных жалоб пациентов и их родственников;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     мониторинг книг жалоб и предложений пациентов по отделениям.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 РАЗДЕЛ 3. ОЦЕНКА КОНКУРЕНТОСПОСОБНОСТИ ПРЕДПРИЯТИЯ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3.1. Ключевые показатели деятельности (по плану развития)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1: Формирование квалифицированных кадров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   В результате проведенных мероприятий по основным задачам в рамках данной стратегической цели из 5 индикаторов достигнуты все индикаторы.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Индикаторы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768"/>
        <w:gridCol w:w="1316"/>
        <w:gridCol w:w="1303"/>
        <w:gridCol w:w="1187"/>
        <w:gridCol w:w="1259"/>
      </w:tblGrid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на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2016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Сведения о достижении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персонала, прошедшего обучение/переподготовку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Текучесть кадров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персонала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жильем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менее 50,0%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Достиг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Причины не достижения: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_________________________________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2: Адекватное финансирование деятельности, повышение доходности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   В результате проведенных мероприятий по основным задачам в рамках данной стратегической цели из 6 индикаторов наблюдается достижение 3 индикаторов, не достигнуты – 3.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A06F39" w:rsidRPr="00850965" w:rsidRDefault="00A06F39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A06F39" w:rsidRPr="00850965" w:rsidRDefault="00A06F39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Индикаторы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402"/>
        <w:gridCol w:w="1324"/>
        <w:gridCol w:w="1364"/>
        <w:gridCol w:w="1251"/>
        <w:gridCol w:w="1273"/>
      </w:tblGrid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на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год*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2016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Сведения о достижении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на 1 койку (млн. тенге)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3,2 млн. тг.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3,4млн. тг.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2,8 млн. тг.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Амортизационный коэффициент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49,78%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43,28%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Оборачиваемость активов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(эффективная деятельность)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-893,93%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Рентабельность активов (ROA)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1F2795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1F2795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доходов от платных услуг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Причины не достижения: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2. За счет физического износа и нехватки финансовых средств для обновления базы основных средств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4,5. За счет убытка предприятия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3: Создание пациент-ориентированной системы оказания медицинской помощи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 результате проведенных мероприятий по основным задачам в рамках данной стратегической цели из  индикаторов наблюдается достижение  15 индикаторов, не достигнуто - 1 индикатор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Индикаторы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378"/>
        <w:gridCol w:w="1391"/>
        <w:gridCol w:w="1341"/>
        <w:gridCol w:w="1245"/>
        <w:gridCol w:w="1272"/>
      </w:tblGrid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на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2016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Сведения о достижении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пациентов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ВБИ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послеопер</w:t>
            </w:r>
            <w:proofErr w:type="spellEnd"/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ационной</w:t>
            </w:r>
            <w:proofErr w:type="spellEnd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летальности пациентов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1,6%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0, 6%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летальность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0,9%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послеоперационных осложнений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ожидания госпитализации в стационар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14 дней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1день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туберкулезом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 на 100тыс нас.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 на 100тыс нас.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на 100тыс нас.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смертность населения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на 1000нас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смертность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на 100000 родившихся живыми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Младенческая смертность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на 1000 родившихся живыми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Смертность от болезней системы кровообращения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177,5 на 100тыс нас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129,6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138,5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Смертность от туберкулеза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3,5 на 100тыс нас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Смертность от злокачественных новообразований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74,49 на 100тыс нас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Ранее выявляемость злокачественных новообразований (1-2 стадия)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62,5%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Доля врачей ПМСП в общем числе врачей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Причины не достижения: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9. За счет регистрации ранее умерших при определении статуса по ОСМС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Цель 4: Эффективный больничный менеджмент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 результате проведенных мероприятий по основным задачам в рамках данной стратегической цели из 5 индикаторов наблюдается достижение 4 индикаторов, не достигнуты – 1 индикатор.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376"/>
        <w:gridCol w:w="1313"/>
        <w:gridCol w:w="1329"/>
        <w:gridCol w:w="1197"/>
        <w:gridCol w:w="1404"/>
      </w:tblGrid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на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2016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Сведения о достижении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компьютеризации рабочих мест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койки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26,9 раз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 раз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 раз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занятость койки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длительность пребывания пациента в стационаре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12,1 дней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дней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дней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850965" w:rsidRPr="00850965" w:rsidTr="009D51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длительность дооперационного пребывания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4,7 дней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 дней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дней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Достиг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br/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Причины не достижения: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3. В связи с развитием и широким применением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стационарозамещающих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технологии и с  сокращением пребывания больного на стационарные койки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3.2. Основные медико-экономические показатели (за последние 3 года)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Медико-экономические показатели Организации за последние 3 года: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975"/>
        <w:gridCol w:w="1661"/>
        <w:gridCol w:w="1683"/>
        <w:gridCol w:w="1683"/>
      </w:tblGrid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2015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 за          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2016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2017 год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пациентов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92,6%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работников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за отчетный период составляют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7554D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532870,5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8440C3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589589,62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8440C3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619709,10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всего за отчетный период составляют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7554D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555302,6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E6D71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626634,02тыс 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E6D71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651218,24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платных медицинских услуг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7554D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6354,2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BA7B85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6071,00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BA7B85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6771,22</w:t>
            </w:r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D5136" w:rsidRPr="0085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пациентов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0,15%</w:t>
            </w:r>
          </w:p>
        </w:tc>
      </w:tr>
      <w:tr w:rsidR="00850965" w:rsidRPr="00850965" w:rsidTr="009D513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4. ФИНАНСОВАЯ ОТЧЕТНОСТЬ И ЭФФЕКТИВНОЕ ИСПОЛЬЗОВАНИЕ ФИНАНСОВЫХ СРЕДСТВ. МЕХАНИЗМ ПОВЫШЕНИЯ ДОХОДНОЙ ЧАСТИ БЮДЖЕТА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4.1. Отчет о финансовом положении (финансово-экономические показатели)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Утвержденный бюджет на 2017 год </w:t>
      </w:r>
      <w:r w:rsidR="003A43EF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 </w:t>
      </w:r>
      <w:r w:rsidR="003A43EF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545900,8</w:t>
      </w:r>
      <w:r w:rsidR="003A43EF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тыс.тенге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. Уточненный бюджет на 2017 год составляет </w:t>
      </w:r>
      <w:r w:rsidR="003A43EF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563038,4</w:t>
      </w:r>
      <w:r w:rsidR="003A43EF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тыс.тенге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остаточная стоимость основных средств по состоянию на 31.12.2017 года составила </w:t>
      </w:r>
      <w:r w:rsidR="004D4DE0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1 827 314,40 </w:t>
      </w:r>
      <w:proofErr w:type="spell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тыс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.тенге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и включала следующее: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1. здания и сооружения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–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558 155,76 </w:t>
      </w:r>
      <w:proofErr w:type="spell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тыс.тенге</w:t>
      </w:r>
      <w:proofErr w:type="spell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2. Машины и оборудование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–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21 895,75 </w:t>
      </w:r>
      <w:proofErr w:type="spell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тыс.тенге</w:t>
      </w:r>
      <w:proofErr w:type="spell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3. Транспортные средства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–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11 226,75 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тыс</w:t>
      </w:r>
      <w:proofErr w:type="gram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.т</w:t>
      </w:r>
      <w:proofErr w:type="gramEnd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енге</w:t>
      </w:r>
      <w:proofErr w:type="spellEnd"/>
    </w:p>
    <w:p w:rsidR="009D5136" w:rsidRPr="00850965" w:rsidRDefault="004D4DE0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4. Компьютеры –</w:t>
      </w:r>
      <w:r w:rsidR="009D5136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1 930,09 </w:t>
      </w:r>
      <w:proofErr w:type="spellStart"/>
      <w:r w:rsidR="009D5136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тыс.тенге</w:t>
      </w:r>
      <w:proofErr w:type="spell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5.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Мебель 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- </w:t>
      </w:r>
      <w:r w:rsidR="004D4DE0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220,95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тыс</w:t>
      </w:r>
      <w:proofErr w:type="gram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.т</w:t>
      </w:r>
      <w:proofErr w:type="gramEnd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енге</w:t>
      </w:r>
      <w:proofErr w:type="spellEnd"/>
    </w:p>
    <w:p w:rsidR="004D4DE0" w:rsidRPr="00850965" w:rsidRDefault="004D4DE0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6.Земля  - 1 212 204,51 </w:t>
      </w:r>
      <w:proofErr w:type="spellStart"/>
      <w:proofErr w:type="gram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тыс</w:t>
      </w:r>
      <w:proofErr w:type="spellEnd"/>
      <w:proofErr w:type="gramEnd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тенге </w:t>
      </w:r>
    </w:p>
    <w:p w:rsidR="004D4DE0" w:rsidRPr="00850965" w:rsidRDefault="004D4DE0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7.Прочие основные средства – 21 644,35 </w:t>
      </w:r>
      <w:proofErr w:type="spell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тыс</w:t>
      </w:r>
      <w:proofErr w:type="spellEnd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тенге </w:t>
      </w:r>
    </w:p>
    <w:p w:rsidR="004D4DE0" w:rsidRPr="00850965" w:rsidRDefault="004D4DE0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8. Жилые здания -36,24 </w:t>
      </w:r>
      <w:proofErr w:type="spell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тыс.тенге</w:t>
      </w:r>
      <w:proofErr w:type="spell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4.2 Отчет о прибыли, убытке и совокупном доходе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Увеличение доходов от платных медицинских услуг: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 З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а 2017 год фактические доходы от платных медицинских услуг в сумме составили 8412,8 тыс. тенге (в 2016 году – 7005,6тыс. тенге).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Доход за 2017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го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составил </w:t>
      </w:r>
      <w:r w:rsidR="00222E5F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619 709,10</w:t>
      </w:r>
      <w:r w:rsidR="00222E5F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тыс.тенге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. Расходы за 2017 год составил </w:t>
      </w:r>
      <w:r w:rsidR="00222E5F" w:rsidRPr="00850965">
        <w:rPr>
          <w:rFonts w:ascii="Arial" w:eastAsia="Times New Roman" w:hAnsi="Arial" w:cs="Arial"/>
          <w:sz w:val="21"/>
          <w:szCs w:val="21"/>
          <w:lang w:eastAsia="ru-RU"/>
        </w:rPr>
        <w:t>–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222E5F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651 218,24</w:t>
      </w:r>
      <w:r w:rsidR="00222E5F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тыс.тенге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, итого убыток за</w:t>
      </w:r>
      <w:r w:rsidR="00B93F08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отчетный год составил – </w:t>
      </w:r>
      <w:r w:rsidR="00B93F08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31509,14</w:t>
      </w:r>
      <w:r w:rsidR="00B93F08"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тыс.тенге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4.3. Оценка эффективности использования основных средств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«Амортизационный коэффициент» (при плане 40%, факт – 49,8%).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Недостижение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индикатора связано с физическим износом основных средств и недостаточности   финансовых средств для закупа новых медицинских оборудований, транспортных средств и т.д.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«Рентабельность (эффективная деятельность)» (план – 0,1%, факт – -893,93%). Не достижение индикатора связано с убытком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преприятия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«Рентабельность активов (ROA)» (план – 0</w:t>
      </w:r>
      <w:r w:rsidR="007219C9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факт – -0</w:t>
      </w:r>
      <w:r w:rsidR="007219C9"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%). </w:t>
      </w:r>
      <w:proofErr w:type="spellStart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>Недостижение</w:t>
      </w:r>
      <w:proofErr w:type="spellEnd"/>
      <w:r w:rsidRPr="0085096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индикатора связано с убытком предприятия.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РАЗДЕЛ 5. ПАЦИЕНТЫ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5.1 Привлечение (прикрепление) пациентов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За 2017 год в Организации было пролечено 1561 пациент (в рамках ГОБМП), что на 1,3% меньше по сравнению с показателями прошлых лет (за 2016 г. – 1582, за 2015 г. – 1682).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Стационарные койки в целом по Организации, и в разрезе структурных подразделении в 2017 году работали в интенсивном режиме, о чем свидетельствует 366 дней работы койки в 2017 году, (нормативная нагрузка работы койки для хирургических коек в РК – 340 дней в год).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5.2. Удовлетворенность пациентов услугами медицинской организации. Работа с жалобами.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С целью улучшения качества обслуживания на основе анализа мнений и предложений пациентов Организацией ежемесячно проводится анкетирование пациентов. По результатам проведенных анкетировании за отчетный период отмечается увеличение удовлетворенности пациентов до 92,6% против 92,4% в 2016 году.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  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5.3. Работа с пациентами, управление структурой госпитализированных пациентов.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В Организации отмечается уменьшение оборота койки на 0,5%: с 33,7 в 2016 г. до 33,2 в 2017г., при плане 32,5 в 2017г. 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 этом, количество поступивших больных уменьшилось на 2%: с 1588 поступивших больных за 2016 г, до 1556 в 2017 г.; уменьшилось  количество выписанных за 2017 г. на 1,3%, что составило 1561  против 1582 за 2016 г.</w:t>
      </w:r>
      <w:proofErr w:type="gram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5.4. Безопасность пациентов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В рамках подготовки к прохождению аккредитации осуществлены следующие мероприятия: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пересмотрены 20 правила для сотрудников, описывающих процессы и процедуры от приема пациента в приемном покое до его выписки, а также внедрены формы медицинской документации в соответствии с международными требованиями;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15 клинических протоколов диагностики и лечения пациентов, созданных на основе лучших мировых практик и доказательной медицины;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17 Стандартных операционных процедур (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СОПов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) для среднего и младшего медицинского персонала, соответствующих международным;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 5.5. Управление рисками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 Организацией проводится работа по совершенствованию работающего процесса сообщения о медицинских ошибках через предоставление Отчетов об инцидентах, которая достигается путем создания доверительных отношений между всеми сотрудниками, уменьшения боязни сотрудников сообщать о случившихся инцидентах.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A06F39" w:rsidRPr="00850965" w:rsidRDefault="00A06F39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9D5136" w:rsidRPr="00850965" w:rsidRDefault="009D5136" w:rsidP="009D5136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Анализ управления рисками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11018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817"/>
        <w:gridCol w:w="2010"/>
        <w:gridCol w:w="1843"/>
        <w:gridCol w:w="1623"/>
        <w:gridCol w:w="1456"/>
      </w:tblGrid>
      <w:tr w:rsidR="00850965" w:rsidRPr="00850965" w:rsidTr="00A06F39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Наименованиевозможного</w:t>
            </w:r>
            <w:proofErr w:type="spellEnd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риска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на которую может повлиять данный риск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мероприятия по управлению рисками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мероприятий по управлению рисками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Причины</w:t>
            </w:r>
            <w:proofErr w:type="spellEnd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неисполнения</w:t>
            </w:r>
            <w:proofErr w:type="spellEnd"/>
          </w:p>
        </w:tc>
      </w:tr>
      <w:tr w:rsidR="00850965" w:rsidRPr="00850965" w:rsidTr="00A06F39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50965" w:rsidRPr="00850965" w:rsidTr="00A06F39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внутрибольничной инфекции (БВИ)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На показатель качества;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На репутацию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1: Создание пациент-ориентированной системы оказания медицинской помощи.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2: Эффективный больничный менеджмент.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Ухудшение показателей стационара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(увеличение срока пребывания пациента в стационаре, увеличение смертности от ВБИ в стационаре)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Дополнительные финансовые затраты;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Комплексные мероприятия по профилактике ВБИ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9D5136" w:rsidRPr="00850965" w:rsidRDefault="009D5136" w:rsidP="009D51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В случае возникновения, 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источник инфекции, - выявление, изоляция и санация.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комиссия инфекционного контроля, действующая согласно Типовому положению о комиссии инфекционного контроля медицинских организаций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9D5136" w:rsidRPr="00850965" w:rsidRDefault="009D5136" w:rsidP="009D51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работы по организации и проведению инфекционного контроля</w:t>
            </w:r>
          </w:p>
          <w:p w:rsidR="009D5136" w:rsidRPr="00850965" w:rsidRDefault="009D5136" w:rsidP="009D51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результате, з</w:t>
            </w: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2017 г. не наблюдается рост  ВБИ с 0,06% в 2016 г. до 0,06% в 2017 году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0965" w:rsidRPr="00850965" w:rsidTr="00A06F39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136" w:rsidRPr="00850965" w:rsidRDefault="009D5136" w:rsidP="009D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Проведена работа по экспертизе медицинских карт на соответствие требованиям национальной и международной аккредитаций: ежемесячный мониторинг по качеству заполнения медицинской документации; мониторинг своевременности предоставления информации по выписанным пациентам в ЕНСЗ; проведение экспертизы медицинской помощи по летальным случаям, которые разобраны на КИЛИ. Осуществлен контроль соблюдения стандартов аккредитации: идентификация пациентов, вторая подпись в листах назначений, тайм-аут и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т.д</w:t>
      </w:r>
      <w:proofErr w:type="spell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РАЗДЕЛ 6. КАДРЫ. КОМПЛЕКСНАЯ СИСТЕМА МОТИВАЦИИ И РАЗВИТИЯ ПЕРСОНАЛА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6.1. Эффективность  </w:t>
      </w:r>
      <w:r w:rsidRPr="00850965">
        <w:rPr>
          <w:rFonts w:ascii="Arial" w:eastAsia="Times New Roman" w:hAnsi="Arial" w:cs="Arial"/>
          <w:sz w:val="21"/>
          <w:szCs w:val="21"/>
          <w:lang w:val="en-US" w:eastAsia="ru-RU"/>
        </w:rPr>
        <w:t>HR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-менеджмента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Для достижения данной цели определены несколько основных задач: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Обучение и переподготовка ключевых специалистов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В целях повышения профессионального уровня кадров за отчетный период прошли повышение квалификации  врачи на разные темы (обязательное социальное медицинское страхование - 20 человек, онкология - 2, по заболеваемости туберкулезом - 4, по проведению наркологической и психиатрической экспертизы -5), прошли переподготовку 3 специалиста (УЗИ, реабилитология, офтальмология).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Среди медицинского персонала среднего звена по фармации прошли повышение квалификации - 12 человек, также за счет средств стимулирующего компонента подушевого норматива были обучены 8 врача, 17 средний медицинский персонал.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22 врача, 11 средний медицинский персонал, 8 сотрудников из числа прочего персонала приняли участие на семинарах по различным темам.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Совершенствование системы профессионального развития среднего медицинско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го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персонала, включая расширение его прав и полномочий: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   В Организации особое внимание уделяется профессиональному развитию медицинских сестер, включая расширение их прав и полномочий, улучшение клинических навыков и этического поведения. В связи с этим на базе Организации на постоянной основе проводятся конференции и семинары.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За отчетный период проведено 5 общебольничных конференций для специалистов сестринского дела с изложением теоретического материала и практических навыков.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Во всех конференциях принимали участие специалисты сестринского дела клинических отделений и вспомогательных служб.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6.2 Управление рисками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Обеспечение безопасными и эргономичными условиями труда медицинского и немедицинского персонала.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За отчетный период в организации проведена работа по: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обучению руководящего состава в области безопасности и охраны труда (обучено 5 сотрудников);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по обучению по пожарной безопасности (обучено 8 сотрудников)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проверке знаний сотрудников в области безопасности и охраны труда (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экзаменировано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150 сотрудников);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проведению вводного инструктажа с вновь принятыми на работу (проведено 66 сотрудникам);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организации производственного экологического контроля (ежедневный обход зданий и территории);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проведению аттестации электротехнического персонала по знанию норм и правил техники безопасности при эксплуатации электроустановок (аттестовано 10 сотрудников);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·      проведению тренингов персонала с участием областных, районных ГО, ЧС (проведено 5 объектовые тренировки).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Внешней сертифицированной компанией проведена аттестация рабочих мест.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Случаев производственного травматизма и профессиональных заболеваний в 2017 году не было.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РАЗДЕЛ 7. ЭФФЕКТИВНОЕ ИСПОЛЬЗОВАНИЕ   РЕСУРСОВ ОРГАНИЗАЦИИ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        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7.1. Аккредитация клиники, лабораторной службы, профильных служб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В 2016 году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Организация</w:t>
      </w: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 успешно прошла аккредитацию.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В рамках подготовки к прохождению аккредитации осуществлены следующие мероприятия: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-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внедрены 6 индикаторы качества и 3 приоритетные работы для выполнения проектов по повышению эффективности работы в каждом клиническом и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параклиническом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подразделениях;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-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20 правил для сотрудников, описывающие процессы и процедуры от приема пациента в приемном покое до его выписки, а также внедрены формы медицинской  документации, в соответствии с международными требованиями;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val="kk-KZ" w:eastAsia="ru-RU"/>
        </w:rPr>
        <w:t>- </w:t>
      </w: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15 клинических протоколов диагностики и лечения нейрохирургических пациентов, созданных на основе лучших мировых практик и доказательной медицины;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пересмотрены 17 Стандартных операционные процедуры (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СОПы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>) для среднего и младшего медицинского персонала, соответствующие международным стандартам;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  7.2. Управление структурой больных (ранжирование по весовым коэффициентам, развитие </w:t>
      </w:r>
      <w:proofErr w:type="spell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стационарзамещающих</w:t>
      </w:r>
      <w:proofErr w:type="spellEnd"/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 технологий)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Уровень использования коечного фонда за 2016 год составил 87% при плане 100%.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         За 2017 год наблюдается снижение средней длительности пребывания (СДП) пациентов в отделениях с 8,0 дней в 2016 г. до 7,5 в 2017 г. при плане 11,2 дней за 2017 г.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Отмечается уменьшение оборота койки  с 33,7 в 2016 г. до 33,2 в 2017 г., при плане 32,5 в 2017г. </w:t>
      </w:r>
      <w:proofErr w:type="gramStart"/>
      <w:r w:rsidRPr="00850965">
        <w:rPr>
          <w:rFonts w:ascii="Arial" w:eastAsia="Times New Roman" w:hAnsi="Arial" w:cs="Arial"/>
          <w:sz w:val="21"/>
          <w:szCs w:val="21"/>
          <w:lang w:eastAsia="ru-RU"/>
        </w:rPr>
        <w:t>При этом, количество поступивших больных уменьшилось  на 2%: с 1588  поступивших больных за 2016 г. до 1556 в 2017 г.; уменьшилось количество выписанных за 2017 г. на 1,3%, что составляло 1561 против 1582 за 2016 г.</w:t>
      </w:r>
      <w:proofErr w:type="gramEnd"/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        </w:t>
      </w:r>
    </w:p>
    <w:p w:rsidR="009D5136" w:rsidRPr="00850965" w:rsidRDefault="009D5136" w:rsidP="009D5136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5096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sectPr w:rsidR="009D5136" w:rsidRPr="00850965" w:rsidSect="009D51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C2B"/>
    <w:multiLevelType w:val="multilevel"/>
    <w:tmpl w:val="FEB0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95BD5"/>
    <w:multiLevelType w:val="multilevel"/>
    <w:tmpl w:val="7CA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04"/>
    <w:rsid w:val="00003D2E"/>
    <w:rsid w:val="0002150A"/>
    <w:rsid w:val="0003329D"/>
    <w:rsid w:val="000427B5"/>
    <w:rsid w:val="00044A34"/>
    <w:rsid w:val="00070D8B"/>
    <w:rsid w:val="0007581E"/>
    <w:rsid w:val="00090BE9"/>
    <w:rsid w:val="000B2E7C"/>
    <w:rsid w:val="0013572A"/>
    <w:rsid w:val="00181374"/>
    <w:rsid w:val="001A4DB4"/>
    <w:rsid w:val="001D4A59"/>
    <w:rsid w:val="001F2795"/>
    <w:rsid w:val="00222E5F"/>
    <w:rsid w:val="002641D1"/>
    <w:rsid w:val="0027711E"/>
    <w:rsid w:val="00291F97"/>
    <w:rsid w:val="002C2DB6"/>
    <w:rsid w:val="002F2FB3"/>
    <w:rsid w:val="0030060E"/>
    <w:rsid w:val="00336200"/>
    <w:rsid w:val="00385264"/>
    <w:rsid w:val="003A43EF"/>
    <w:rsid w:val="003D0F29"/>
    <w:rsid w:val="003E4BDB"/>
    <w:rsid w:val="00430735"/>
    <w:rsid w:val="00433C3E"/>
    <w:rsid w:val="00472968"/>
    <w:rsid w:val="004B1E4F"/>
    <w:rsid w:val="004D4DE0"/>
    <w:rsid w:val="004D751E"/>
    <w:rsid w:val="004F519B"/>
    <w:rsid w:val="004F79E8"/>
    <w:rsid w:val="005077F2"/>
    <w:rsid w:val="005360AE"/>
    <w:rsid w:val="0055788D"/>
    <w:rsid w:val="00567F40"/>
    <w:rsid w:val="005A16EA"/>
    <w:rsid w:val="005A3C90"/>
    <w:rsid w:val="005D43DC"/>
    <w:rsid w:val="00661DCD"/>
    <w:rsid w:val="006913CB"/>
    <w:rsid w:val="00695184"/>
    <w:rsid w:val="006D5440"/>
    <w:rsid w:val="006D789F"/>
    <w:rsid w:val="006F0325"/>
    <w:rsid w:val="00705E07"/>
    <w:rsid w:val="007219C9"/>
    <w:rsid w:val="00724E3D"/>
    <w:rsid w:val="0072566D"/>
    <w:rsid w:val="007275E4"/>
    <w:rsid w:val="007554D6"/>
    <w:rsid w:val="0075748A"/>
    <w:rsid w:val="00757B24"/>
    <w:rsid w:val="00760668"/>
    <w:rsid w:val="00782515"/>
    <w:rsid w:val="007927D1"/>
    <w:rsid w:val="007C16EC"/>
    <w:rsid w:val="007D3F53"/>
    <w:rsid w:val="007F1B66"/>
    <w:rsid w:val="00835066"/>
    <w:rsid w:val="008440C3"/>
    <w:rsid w:val="00850965"/>
    <w:rsid w:val="008677A5"/>
    <w:rsid w:val="00872F35"/>
    <w:rsid w:val="008B295E"/>
    <w:rsid w:val="008B671E"/>
    <w:rsid w:val="008C19D4"/>
    <w:rsid w:val="00943BDE"/>
    <w:rsid w:val="0094661C"/>
    <w:rsid w:val="009534DB"/>
    <w:rsid w:val="0096361D"/>
    <w:rsid w:val="009A686E"/>
    <w:rsid w:val="009D5136"/>
    <w:rsid w:val="009D7A0D"/>
    <w:rsid w:val="009E6D71"/>
    <w:rsid w:val="009F11EA"/>
    <w:rsid w:val="00A06F39"/>
    <w:rsid w:val="00A62A5A"/>
    <w:rsid w:val="00A850AE"/>
    <w:rsid w:val="00A851E7"/>
    <w:rsid w:val="00AA3B9C"/>
    <w:rsid w:val="00AB3F1F"/>
    <w:rsid w:val="00AE737F"/>
    <w:rsid w:val="00B2596B"/>
    <w:rsid w:val="00B30968"/>
    <w:rsid w:val="00B31090"/>
    <w:rsid w:val="00B63DDB"/>
    <w:rsid w:val="00B93F08"/>
    <w:rsid w:val="00B95A9E"/>
    <w:rsid w:val="00BA322D"/>
    <w:rsid w:val="00BA7B85"/>
    <w:rsid w:val="00BB4AFC"/>
    <w:rsid w:val="00BC08AE"/>
    <w:rsid w:val="00BC22DB"/>
    <w:rsid w:val="00BD37E2"/>
    <w:rsid w:val="00BD3FF0"/>
    <w:rsid w:val="00C174E7"/>
    <w:rsid w:val="00C2498B"/>
    <w:rsid w:val="00C35A0D"/>
    <w:rsid w:val="00C62548"/>
    <w:rsid w:val="00C67820"/>
    <w:rsid w:val="00C93919"/>
    <w:rsid w:val="00CA310D"/>
    <w:rsid w:val="00CF1211"/>
    <w:rsid w:val="00D12013"/>
    <w:rsid w:val="00D3705D"/>
    <w:rsid w:val="00D468A1"/>
    <w:rsid w:val="00D6190E"/>
    <w:rsid w:val="00D97B54"/>
    <w:rsid w:val="00DA2772"/>
    <w:rsid w:val="00DA3F4C"/>
    <w:rsid w:val="00DC76AA"/>
    <w:rsid w:val="00DD780C"/>
    <w:rsid w:val="00DF7FA1"/>
    <w:rsid w:val="00E00DC8"/>
    <w:rsid w:val="00E44791"/>
    <w:rsid w:val="00E4482C"/>
    <w:rsid w:val="00E475F9"/>
    <w:rsid w:val="00E57BF2"/>
    <w:rsid w:val="00E6316B"/>
    <w:rsid w:val="00E83E33"/>
    <w:rsid w:val="00EB7E53"/>
    <w:rsid w:val="00EE4EE1"/>
    <w:rsid w:val="00EF6992"/>
    <w:rsid w:val="00F039B6"/>
    <w:rsid w:val="00F23C32"/>
    <w:rsid w:val="00F44FDB"/>
    <w:rsid w:val="00F45806"/>
    <w:rsid w:val="00F46998"/>
    <w:rsid w:val="00F72CDC"/>
    <w:rsid w:val="00F86BD3"/>
    <w:rsid w:val="00F93BF2"/>
    <w:rsid w:val="00FC461C"/>
    <w:rsid w:val="00F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136"/>
    <w:rPr>
      <w:b/>
      <w:bCs/>
    </w:rPr>
  </w:style>
  <w:style w:type="character" w:styleId="a5">
    <w:name w:val="Hyperlink"/>
    <w:basedOn w:val="a0"/>
    <w:uiPriority w:val="99"/>
    <w:semiHidden/>
    <w:unhideWhenUsed/>
    <w:rsid w:val="009D51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5136"/>
    <w:rPr>
      <w:color w:val="800080"/>
      <w:u w:val="single"/>
    </w:rPr>
  </w:style>
  <w:style w:type="paragraph" w:customStyle="1" w:styleId="sitenames">
    <w:name w:val="sitenames"/>
    <w:basedOn w:val="a"/>
    <w:rsid w:val="009D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logo">
    <w:name w:val="itlogo"/>
    <w:basedOn w:val="a0"/>
    <w:rsid w:val="009D5136"/>
  </w:style>
  <w:style w:type="paragraph" w:styleId="a7">
    <w:name w:val="Balloon Text"/>
    <w:basedOn w:val="a"/>
    <w:link w:val="a8"/>
    <w:uiPriority w:val="99"/>
    <w:semiHidden/>
    <w:unhideWhenUsed/>
    <w:rsid w:val="009D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136"/>
    <w:rPr>
      <w:b/>
      <w:bCs/>
    </w:rPr>
  </w:style>
  <w:style w:type="character" w:styleId="a5">
    <w:name w:val="Hyperlink"/>
    <w:basedOn w:val="a0"/>
    <w:uiPriority w:val="99"/>
    <w:semiHidden/>
    <w:unhideWhenUsed/>
    <w:rsid w:val="009D51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5136"/>
    <w:rPr>
      <w:color w:val="800080"/>
      <w:u w:val="single"/>
    </w:rPr>
  </w:style>
  <w:style w:type="paragraph" w:customStyle="1" w:styleId="sitenames">
    <w:name w:val="sitenames"/>
    <w:basedOn w:val="a"/>
    <w:rsid w:val="009D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logo">
    <w:name w:val="itlogo"/>
    <w:basedOn w:val="a0"/>
    <w:rsid w:val="009D5136"/>
  </w:style>
  <w:style w:type="paragraph" w:styleId="a7">
    <w:name w:val="Balloon Text"/>
    <w:basedOn w:val="a"/>
    <w:link w:val="a8"/>
    <w:uiPriority w:val="99"/>
    <w:semiHidden/>
    <w:unhideWhenUsed/>
    <w:rsid w:val="009D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732422">
                      <w:marLeft w:val="318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6113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9985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2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9835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526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9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9378">
              <w:marLeft w:val="375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836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136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6228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ДАУРЕНБЕК</dc:creator>
  <cp:lastModifiedBy>ДАУРЕНБЕК</cp:lastModifiedBy>
  <cp:revision>6</cp:revision>
  <dcterms:created xsi:type="dcterms:W3CDTF">2019-06-11T11:02:00Z</dcterms:created>
  <dcterms:modified xsi:type="dcterms:W3CDTF">2019-06-11T11:11:00Z</dcterms:modified>
</cp:coreProperties>
</file>